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5B" w:rsidRDefault="00F2635B" w:rsidP="00F2635B">
      <w:pPr>
        <w:pStyle w:val="Bezmezer"/>
        <w:jc w:val="center"/>
        <w:rPr>
          <w:b/>
          <w:u w:val="single"/>
          <w:lang w:eastAsia="cs-CZ"/>
        </w:rPr>
      </w:pPr>
      <w:r w:rsidRPr="00F2635B">
        <w:rPr>
          <w:b/>
          <w:u w:val="single"/>
          <w:lang w:eastAsia="cs-CZ"/>
        </w:rPr>
        <w:t>Zkušební okruhy z občanského práva hmotného ke státní zkoušce</w:t>
      </w:r>
    </w:p>
    <w:p w:rsidR="00F2635B" w:rsidRPr="00F2635B" w:rsidRDefault="00F2635B" w:rsidP="00F2635B">
      <w:pPr>
        <w:pStyle w:val="Bezmezer"/>
        <w:jc w:val="center"/>
        <w:rPr>
          <w:b/>
          <w:u w:val="single"/>
          <w:lang w:eastAsia="cs-CZ"/>
        </w:rPr>
      </w:pP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Soukromé právo v systému práva. Soukromé a veřejné právo. Systém soukromého práva.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Základní principy soukromého a občanského práva. Pojem a předmět občanského práva.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Fyzické osoby.  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Ochrana osobnosti.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Právnické osoby.  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Zastoupení.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Právní skutečnosti (pojem a druhy), domněnky, fikce.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Právní úkony a jejich náležitosti.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Druhy, obsah a výklad právních úkonů.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Právní následky vadných právních úkonů.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Jiné právní skutečnosti než právní úkony.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Promlčení a prekluze.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Předmět subjektivních práv a povinností (věci, práva, jiné majetkové hodnoty, byty a nebytové prostory).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Subjektivní práva a povinnosti a jejich ochrana.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Věcná práva.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Vlastnické právo (pojem, obsah, ochrana).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Výkon a omezení vlastnického práva.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Nabývání vlastnického práva.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Vlastnictví bytů a nebytových prostor.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Držba a detence.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Spoluvlastnictví.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Společné jmění manželů.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Zástavní právo.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Zadržovací právo.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Věcná břemena.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Zápisy do katastru nemovitostí a zásady, které je ovládají.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Pojem závazkového práva a jeho místo v soukromém právu.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Vznik závazkových právních vztahů.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Subjekty závazkových právních vztahů a jejich pluralita.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Druhy závazkových právních vztahů.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Třídění občanskoprávních smluv, smlouva o smlouvě budoucí a smlouva ve prospěch třetího.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Proces uzavírání smluv.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Spotřebitelské smlouvy.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Změny závazků v subjektech.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Změny závazků v obsahu.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Zajištění závazků (obecně).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Ručení.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Smluvní pokuta, dohoda o srážkách ze mzdy a jiných příjmů, uznání dluhu.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Zánik závazků (obecně).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Splnění závazků a jiné způsoby jejich zániku na základě jednostranného právního úkonu.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Zánik závazků na základě dvoustranného právního úkonu a na základě události.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Smlouvy o převodech vlastnictví.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Vedlejší ujednání v kupní smlouvě.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Prodej zboží v obchodě.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Smlouva o dílo.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Půjčka, výpůjčka, nájem.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Nájem bytu.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Smlouvy o přepravě.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Smlouva příkazní a zprostředkovatelská.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Smlouva o sdružení.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Jednatelství bez příkazu, veřejná soutěž a veřejný příslib.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Pojem a druhy civilní odpovědnosti.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Odpovědnost za škodu obecná.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Způsob a rozsah náhrady škody.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lastRenderedPageBreak/>
        <w:t>Zvláštní případy odpovědnost za škodu.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Bezdůvodné obohacení.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Předpoklady dědění.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Dědění ze závěti.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Dědění ze zákona.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Nabytí dědictví a ochrana oprávněného dědice.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Manželství (vznik, zánik, neplatnost).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Určení rodičovství.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Rodičovská zodpovědnost a výchovná opatření.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Osvojení a náhradní rodinná péče.</w:t>
      </w:r>
    </w:p>
    <w:p w:rsidR="00F2635B" w:rsidRPr="00F2635B" w:rsidRDefault="00F2635B" w:rsidP="00F2635B">
      <w:pPr>
        <w:pStyle w:val="Bezmezer"/>
        <w:numPr>
          <w:ilvl w:val="0"/>
          <w:numId w:val="2"/>
        </w:numPr>
        <w:rPr>
          <w:lang w:eastAsia="cs-CZ"/>
        </w:rPr>
      </w:pPr>
      <w:r w:rsidRPr="00F2635B">
        <w:rPr>
          <w:lang w:eastAsia="cs-CZ"/>
        </w:rPr>
        <w:t>Výživné.</w:t>
      </w:r>
    </w:p>
    <w:p w:rsidR="005226C1" w:rsidRDefault="005226C1" w:rsidP="00F2635B">
      <w:pPr>
        <w:pStyle w:val="Bezmezer"/>
      </w:pPr>
    </w:p>
    <w:sectPr w:rsidR="005226C1" w:rsidSect="00F2635B">
      <w:pgSz w:w="11906" w:h="16838"/>
      <w:pgMar w:top="284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276BC"/>
    <w:multiLevelType w:val="hybridMultilevel"/>
    <w:tmpl w:val="CCEAC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C2A17"/>
    <w:multiLevelType w:val="multilevel"/>
    <w:tmpl w:val="D6EC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35B"/>
    <w:rsid w:val="005226C1"/>
    <w:rsid w:val="006C514B"/>
    <w:rsid w:val="0099018D"/>
    <w:rsid w:val="00F2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6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635B"/>
    <w:rPr>
      <w:b/>
      <w:bCs/>
    </w:rPr>
  </w:style>
  <w:style w:type="paragraph" w:styleId="Bezmezer">
    <w:name w:val="No Spacing"/>
    <w:uiPriority w:val="1"/>
    <w:qFormat/>
    <w:rsid w:val="00F263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2013-03-05T20:06:00Z</dcterms:created>
  <dcterms:modified xsi:type="dcterms:W3CDTF">2013-03-05T20:07:00Z</dcterms:modified>
</cp:coreProperties>
</file>